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after="0" w:before="0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after="0" w:before="0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POZVÁNKA NA ŘÁDNOU </w:t>
      </w:r>
      <w:r>
        <w:rPr>
          <w:rFonts w:ascii="Arial" w:cs="Arial" w:hAnsi="Arial"/>
          <w:b/>
          <w:i/>
        </w:rPr>
        <w:t>KRAJSKOU KONFERENCI</w:t>
      </w:r>
      <w:r>
        <w:rPr>
          <w:rFonts w:ascii="Arial" w:cs="Arial" w:hAnsi="Arial"/>
          <w:b/>
        </w:rPr>
        <w:br/>
        <w:t>Czech Dance Organization, z.s.</w:t>
        <w:br/>
      </w:r>
    </w:p>
    <w:p>
      <w:pPr>
        <w:pStyle w:val="style0"/>
        <w:spacing w:after="0" w:before="0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krajské sekce ……</w:t>
      </w:r>
      <w:r>
        <w:rPr>
          <w:rFonts w:ascii="Arial" w:cs="Arial" w:hAnsi="Arial"/>
          <w:b/>
        </w:rPr>
        <w:t>Karlovarský kraj</w:t>
      </w:r>
      <w:r>
        <w:rPr>
          <w:rFonts w:ascii="Arial" w:cs="Arial" w:hAnsi="Arial"/>
          <w:b/>
        </w:rPr>
        <w:t>……………………..</w:t>
      </w:r>
    </w:p>
    <w:p>
      <w:pPr>
        <w:pStyle w:val="style0"/>
        <w:spacing w:after="0" w:before="0"/>
        <w:contextualSpacing w:val="false"/>
        <w:rPr>
          <w:rFonts w:ascii="Arial" w:cs="Arial" w:hAnsi="Arial"/>
        </w:rPr>
      </w:pPr>
      <w:r>
        <w:rPr>
          <w:rFonts w:ascii="Arial" w:cs="Arial" w:hAnsi="Arial"/>
          <w:sz w:val="20"/>
        </w:rPr>
        <w:t xml:space="preserve">Předseda krajské sekce zve všechny své řádné členy na krajskou konferenci, která se </w:t>
      </w:r>
      <w:r>
        <w:rPr>
          <w:rFonts w:ascii="Arial" w:cs="Arial" w:hAnsi="Arial"/>
          <w:sz w:val="20"/>
          <w:szCs w:val="20"/>
        </w:rPr>
        <w:t>koná:</w:t>
      </w:r>
      <w:r>
        <w:rPr>
          <w:rFonts w:ascii="Arial" w:cs="Arial" w:hAnsi="Arial"/>
        </w:rPr>
        <w:br/>
      </w:r>
    </w:p>
    <w:p>
      <w:pPr>
        <w:pStyle w:val="style0"/>
        <w:spacing w:after="0" w:before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tblW w:type="dxa" w:w="9072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51"/>
        <w:gridCol w:w="7420"/>
      </w:tblGrid>
      <w:tr>
        <w:trPr>
          <w:cantSplit w:val="false"/>
        </w:trPr>
        <w:tc>
          <w:tcPr>
            <w:tcW w:type="dxa" w:w="1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  <w:t>Krajská sekce</w:t>
            </w:r>
          </w:p>
        </w:tc>
        <w:tc>
          <w:tcPr>
            <w:tcW w:type="dxa" w:w="742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i/>
                <w:szCs w:val="20"/>
              </w:rPr>
            </w:pPr>
            <w:r>
              <w:rPr>
                <w:rFonts w:ascii="Arial" w:cs="Arial" w:hAnsi="Arial"/>
                <w:b/>
                <w:i/>
                <w:szCs w:val="20"/>
              </w:rPr>
              <w:t>Karlovarský kraj</w:t>
            </w:r>
          </w:p>
        </w:tc>
      </w:tr>
      <w:tr>
        <w:trPr>
          <w:cantSplit w:val="false"/>
        </w:trPr>
        <w:tc>
          <w:tcPr>
            <w:tcW w:type="dxa" w:w="1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Dne</w:t>
            </w:r>
          </w:p>
        </w:tc>
        <w:tc>
          <w:tcPr>
            <w:tcW w:type="dxa" w:w="2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i/>
                <w:sz w:val="20"/>
                <w:szCs w:val="20"/>
              </w:rPr>
            </w:pPr>
            <w:r>
              <w:rPr>
                <w:rFonts w:ascii="Arial" w:cs="Arial" w:hAnsi="Arial"/>
                <w:b/>
                <w:i/>
                <w:sz w:val="20"/>
                <w:szCs w:val="20"/>
              </w:rPr>
              <w:t>30.6.</w:t>
            </w:r>
          </w:p>
        </w:tc>
        <w:tc>
          <w:tcPr>
            <w:tcW w:type="dxa" w:w="1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Místo</w:t>
            </w:r>
          </w:p>
        </w:tc>
        <w:tc>
          <w:tcPr>
            <w:tcW w:type="dxa" w:w="33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i/>
                <w:sz w:val="20"/>
                <w:szCs w:val="20"/>
              </w:rPr>
            </w:pPr>
            <w:r>
              <w:rPr>
                <w:rFonts w:ascii="Arial" w:cs="Arial" w:hAnsi="Arial"/>
                <w:b/>
                <w:i/>
                <w:sz w:val="20"/>
                <w:szCs w:val="20"/>
              </w:rPr>
              <w:t>Sokolov, MDK</w:t>
            </w:r>
          </w:p>
        </w:tc>
      </w:tr>
      <w:tr>
        <w:trPr>
          <w:cantSplit w:val="false"/>
        </w:trPr>
        <w:tc>
          <w:tcPr>
            <w:tcW w:type="dxa" w:w="1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Čas</w:t>
            </w:r>
          </w:p>
        </w:tc>
        <w:tc>
          <w:tcPr>
            <w:tcW w:type="dxa" w:w="22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i/>
                <w:sz w:val="20"/>
                <w:szCs w:val="20"/>
              </w:rPr>
            </w:pPr>
            <w:r>
              <w:rPr>
                <w:rFonts w:ascii="Arial" w:cs="Arial" w:hAnsi="Arial"/>
                <w:b/>
                <w:i/>
                <w:sz w:val="20"/>
                <w:szCs w:val="20"/>
              </w:rPr>
              <w:t>16.00</w:t>
            </w:r>
          </w:p>
        </w:tc>
        <w:tc>
          <w:tcPr>
            <w:tcW w:type="dxa" w:w="1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Čas prezence</w:t>
            </w:r>
          </w:p>
        </w:tc>
        <w:tc>
          <w:tcPr>
            <w:tcW w:type="dxa" w:w="33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b/>
                <w:i/>
                <w:sz w:val="20"/>
                <w:szCs w:val="20"/>
              </w:rPr>
            </w:pPr>
            <w:r>
              <w:rPr>
                <w:rFonts w:ascii="Arial" w:cs="Arial" w:hAnsi="Arial"/>
                <w:b/>
                <w:i/>
                <w:sz w:val="20"/>
                <w:szCs w:val="20"/>
              </w:rPr>
              <w:t>15.30 – 16.00</w:t>
            </w:r>
          </w:p>
        </w:tc>
      </w:tr>
    </w:tbl>
    <w:p>
      <w:pPr>
        <w:pStyle w:val="style0"/>
        <w:spacing w:after="0" w:before="0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br/>
        <w:t>Program jednání</w:t>
      </w:r>
    </w:p>
    <w:p>
      <w:pPr>
        <w:pStyle w:val="style0"/>
        <w:spacing w:after="0" w:before="0"/>
        <w:ind w:hanging="0" w:left="708" w:right="0"/>
        <w:contextualSpacing w:val="false"/>
        <w:rPr>
          <w:rFonts w:ascii="Arial" w:cs="Arial" w:hAnsi="Arial"/>
          <w:b/>
          <w:sz w:val="24"/>
          <w:szCs w:val="20"/>
        </w:rPr>
      </w:pPr>
      <w:r>
        <w:rPr>
          <w:rFonts w:ascii="Arial" w:cs="Arial" w:hAnsi="Arial"/>
          <w:b/>
          <w:sz w:val="24"/>
          <w:szCs w:val="20"/>
        </w:rPr>
        <w:t>Prezence</w:t>
        <w:br/>
        <w:t>Volba komise mandátové, sčítací</w:t>
        <w:br/>
        <w:t>Zpráva viceprezidenta</w:t>
        <w:br/>
        <w:t>Volba viceprezidenta</w:t>
        <w:br/>
        <w:t>Usnesení</w:t>
        <w:br/>
        <w:t>Zhodnocení této soutěžní sezóny a náměty pro tu příští, náměty pro jednání orgánů CDO</w:t>
        <w:br/>
        <w:t>Diskuze</w:t>
      </w:r>
    </w:p>
    <w:p>
      <w:pPr>
        <w:pStyle w:val="style0"/>
        <w:spacing w:after="0" w:before="0"/>
        <w:ind w:hanging="0" w:left="708" w:right="0"/>
        <w:contextualSpacing w:val="false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4"/>
          <w:szCs w:val="20"/>
        </w:rPr>
        <w:t>Závěr</w:t>
      </w:r>
      <w:r>
        <w:rPr>
          <w:rFonts w:ascii="Arial" w:cs="Arial" w:hAnsi="Arial"/>
          <w:b/>
          <w:sz w:val="20"/>
          <w:szCs w:val="20"/>
        </w:rPr>
        <w:br/>
      </w:r>
    </w:p>
    <w:p>
      <w:pPr>
        <w:pStyle w:val="style0"/>
        <w:shd w:fill="FFFFFF" w:val="clear"/>
        <w:spacing w:after="0" w:before="0" w:line="100" w:lineRule="atLeast"/>
        <w:ind w:firstLine="708" w:left="0" w:right="0"/>
        <w:contextualSpacing w:val="false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Arial" w:cs="Arial" w:eastAsia="Times New Roman" w:hAnsi="Arial"/>
          <w:sz w:val="18"/>
          <w:szCs w:val="20"/>
          <w:lang w:eastAsia="cs-CZ"/>
        </w:rPr>
      </w:pPr>
      <w:r>
        <w:rPr>
          <w:rFonts w:ascii="Arial" w:cs="Arial" w:hAnsi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>
        <w:rPr>
          <w:rFonts w:ascii="Arial" w:cs="Arial" w:eastAsia="Times New Roman" w:hAnsi="Arial"/>
          <w:sz w:val="18"/>
          <w:szCs w:val="20"/>
          <w:lang w:eastAsia="cs-CZ"/>
        </w:rPr>
        <w:t>na správní úsek CDO.</w:t>
      </w:r>
    </w:p>
    <w:p>
      <w:pPr>
        <w:pStyle w:val="style0"/>
        <w:spacing w:after="0" w:before="0"/>
        <w:ind w:firstLine="708" w:left="0" w:right="0"/>
        <w:contextualSpacing w:val="false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</w:r>
    </w:p>
    <w:p>
      <w:pPr>
        <w:pStyle w:val="style0"/>
        <w:spacing w:after="0" w:before="0"/>
        <w:ind w:firstLine="708" w:left="0" w:right="0"/>
        <w:contextualSpacing w:val="false"/>
        <w:jc w:val="both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>
      <w:pPr>
        <w:pStyle w:val="style0"/>
        <w:spacing w:after="0" w:before="0"/>
        <w:contextualSpacing w:val="false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</w:r>
    </w:p>
    <w:p>
      <w:pPr>
        <w:pStyle w:val="style0"/>
        <w:spacing w:after="0" w:before="0"/>
        <w:contextualSpacing w:val="false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</w:r>
    </w:p>
    <w:p>
      <w:pPr>
        <w:pStyle w:val="style0"/>
        <w:spacing w:after="0" w:before="0"/>
        <w:contextualSpacing w:val="false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</w:r>
    </w:p>
    <w:p>
      <w:pPr>
        <w:pStyle w:val="style0"/>
        <w:spacing w:after="0" w:before="0"/>
        <w:contextualSpacing w:val="false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</w:r>
    </w:p>
    <w:p>
      <w:pPr>
        <w:pStyle w:val="style0"/>
        <w:spacing w:after="0" w:before="0"/>
        <w:contextualSpacing w:val="false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</w:r>
    </w:p>
    <w:p>
      <w:pPr>
        <w:pStyle w:val="style0"/>
        <w:spacing w:after="0" w:before="0"/>
        <w:contextualSpacing w:val="false"/>
        <w:rPr>
          <w:rFonts w:ascii="Arial" w:cs="Arial" w:hAnsi="Arial"/>
          <w:sz w:val="18"/>
          <w:szCs w:val="20"/>
        </w:rPr>
      </w:pPr>
      <w:bookmarkStart w:id="0" w:name="_GoBack"/>
      <w:bookmarkEnd w:id="0"/>
      <w:r>
        <w:rPr>
          <w:rFonts w:ascii="Arial" w:cs="Arial" w:hAnsi="Arial"/>
          <w:sz w:val="18"/>
          <w:szCs w:val="20"/>
        </w:rPr>
        <w:t>V …</w:t>
      </w:r>
      <w:r>
        <w:rPr>
          <w:rFonts w:ascii="Arial" w:cs="Arial" w:hAnsi="Arial"/>
          <w:sz w:val="18"/>
          <w:szCs w:val="20"/>
        </w:rPr>
        <w:t>Sokolově</w:t>
      </w:r>
      <w:r>
        <w:rPr>
          <w:rFonts w:ascii="Arial" w:cs="Arial" w:hAnsi="Arial"/>
          <w:sz w:val="18"/>
          <w:szCs w:val="20"/>
        </w:rPr>
        <w:t>………… dne ……</w:t>
      </w:r>
      <w:r>
        <w:rPr>
          <w:rFonts w:ascii="Arial" w:cs="Arial" w:hAnsi="Arial"/>
          <w:sz w:val="18"/>
          <w:szCs w:val="20"/>
        </w:rPr>
        <w:t>16.6.2016</w:t>
      </w:r>
      <w:r>
        <w:rPr>
          <w:rFonts w:ascii="Arial" w:cs="Arial" w:hAnsi="Arial"/>
          <w:sz w:val="18"/>
          <w:szCs w:val="20"/>
        </w:rPr>
        <w:t>……………………</w:t>
      </w:r>
    </w:p>
    <w:p>
      <w:pPr>
        <w:pStyle w:val="style0"/>
        <w:spacing w:after="0" w:before="0"/>
        <w:contextualSpacing w:val="false"/>
        <w:jc w:val="right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ab/>
        <w:tab/>
        <w:tab/>
        <w:tab/>
        <w:tab/>
        <w:tab/>
        <w:tab/>
        <w:t>………………………………………………………..</w:t>
      </w:r>
    </w:p>
    <w:p>
      <w:pPr>
        <w:pStyle w:val="style0"/>
        <w:spacing w:after="0" w:before="0"/>
        <w:ind w:firstLine="708" w:left="5664" w:right="0"/>
        <w:contextualSpacing w:val="false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>podpis viceprezidenta</w:t>
      </w:r>
    </w:p>
    <w:p>
      <w:pPr>
        <w:pStyle w:val="style0"/>
        <w:rPr/>
      </w:pPr>
      <w:bookmarkStart w:id="1" w:name="priloha2"/>
      <w:bookmarkStart w:id="2" w:name="priloha2"/>
      <w:bookmarkEnd w:id="2"/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bookmarkStart w:id="3" w:name="priloha2"/>
      <w:bookmarkStart w:id="4" w:name="priloha2"/>
      <w:bookmarkEnd w:id="4"/>
      <w:r>
        <w:rPr>
          <w:rFonts w:ascii="Arial" w:cs="Arial" w:hAnsi="Arial"/>
        </w:rPr>
      </w:r>
    </w:p>
    <w:p>
      <w:pPr>
        <w:pStyle w:val="style0"/>
        <w:widowControl/>
        <w:spacing w:after="200" w:before="0" w:line="276" w:lineRule="auto"/>
        <w:contextualSpacing w:val="false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709" w:footer="355" w:gutter="0" w:header="426" w:left="1417" w:right="1417" w:top="102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Arial" w:cs="Arial" w:hAnsi="Arial"/>
        <w:sz w:val="16"/>
        <w:szCs w:val="18"/>
      </w:rPr>
      <w:tab/>
      <w:tab/>
    </w:r>
    <w:pStyle w:val="style30"/>
    <w:contextualSpacing w:val="false"/>
    <w:top w:color="00000A" w:space="0" w:sz="4" w:val="single"/>
    <w:left w:val="nil"/>
    <w:bottom w:val="nil"/>
    <w:insideH w:val="nil"/>
    <w:right w:val="nil"/>
    <w:insideV w:val="nil"/>
    <w:pPr>
      <w:spacing w:after="200" w:before="0"/>
      <w:rPr>
        <w:rFonts w:ascii="Arial" w:cs="Arial" w:hAnsi="Arial"/>
        <w:sz w:val="16"/>
        <w:szCs w:val="18"/>
      </w:rPr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drawing>
        <wp:inline distB="0" distL="0" distR="0" distT="0">
          <wp:extent cx="5038725" cy="685800"/>
          <wp:effectExtent b="0" l="0" r="0" t="0"/>
          <wp:docPr descr="logo_CDO_PODLOUHLE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_CDO_PODLOUHLE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</w:t>
    </w:r>
    <w:pStyle w:val="style29"/>
    <w:contextualSpacing w:val="false"/>
    <w:top w:val="nil"/>
    <w:left w:val="nil"/>
    <w:bottom w:color="00000A" w:space="0" w:sz="4" w:val="single"/>
    <w:insideH w:color="00000A" w:space="0" w:sz="4" w:val="single"/>
    <w:right w:val="nil"/>
    <w:insideV w:val="nil"/>
    <w:jc w:val="center"/>
    <w:pPr>
      <w:spacing w:after="0" w:before="0"/>
      <w:rPr>
        <w:lang w:val="cs-CZ"/>
      </w:rPr>
    </w:pPr>
  </w:p>
  <w:p>
    <w:r>
      <w:rPr>
        <w:rFonts w:ascii="Arial" w:cs="Arial" w:hAnsi="Arial"/>
        <w:b/>
        <w:sz w:val="28"/>
        <w:lang w:val="cs-CZ"/>
      </w:rPr>
    </w:r>
    <w:pStyle w:val="style29"/>
    <w:contextualSpacing w:val="false"/>
    <w:top w:val="nil"/>
    <w:left w:val="nil"/>
    <w:bottom w:color="00000A" w:space="0" w:sz="4" w:val="single"/>
    <w:insideH w:color="00000A" w:space="0" w:sz="4" w:val="single"/>
    <w:right w:val="nil"/>
    <w:insideV w:val="nil"/>
    <w:jc w:val="center"/>
    <w:pPr>
      <w:spacing w:after="0" w:before="0"/>
      <w:rPr>
        <w:rFonts w:ascii="Arial" w:cs="Arial" w:hAnsi="Arial"/>
        <w:b/>
        <w:sz w:val="28"/>
        <w:lang w:val="cs-CZ"/>
      </w:rPr>
    </w:pP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cs-CZ"/>
    </w:rPr>
  </w:style>
  <w:style w:styleId="style1" w:type="paragraph">
    <w:name w:val="Nadpis 1"/>
    <w:basedOn w:val="style0"/>
    <w:next w:val="style1"/>
    <w:pPr>
      <w:keepNext/>
      <w:spacing w:after="60" w:before="240"/>
      <w:contextualSpacing w:val="false"/>
    </w:pPr>
    <w:rPr>
      <w:rFonts w:ascii="Arial" w:eastAsia="Times New Roman" w:hAnsi="Arial"/>
      <w:b/>
      <w:bCs/>
      <w:sz w:val="24"/>
      <w:szCs w:val="32"/>
      <w:lang w:val="cs-CZ"/>
    </w:rPr>
  </w:style>
  <w:style w:styleId="style2" w:type="paragraph">
    <w:name w:val="Nadpis 2"/>
    <w:basedOn w:val="style0"/>
    <w:next w:val="style2"/>
    <w:pPr>
      <w:keepNext/>
      <w:spacing w:after="60" w:before="240"/>
      <w:contextualSpacing w:val="false"/>
    </w:pPr>
    <w:rPr>
      <w:rFonts w:ascii="Cambria" w:eastAsia="Times New Roman" w:hAnsi="Cambria"/>
      <w:b/>
      <w:bCs/>
      <w:i/>
      <w:iCs/>
      <w:sz w:val="28"/>
      <w:szCs w:val="28"/>
      <w:lang w:val="cs-CZ"/>
    </w:rPr>
  </w:style>
  <w:style w:styleId="style15" w:type="character">
    <w:name w:val="Default Paragraph Font"/>
    <w:next w:val="style15"/>
    <w:rPr/>
  </w:style>
  <w:style w:styleId="style16" w:type="character">
    <w:name w:val="Text bubliny Char"/>
    <w:next w:val="style16"/>
    <w:rPr>
      <w:rFonts w:ascii="Tahoma" w:cs="Tahoma" w:hAnsi="Tahoma"/>
      <w:sz w:val="16"/>
      <w:szCs w:val="16"/>
    </w:rPr>
  </w:style>
  <w:style w:styleId="style17" w:type="character">
    <w:name w:val="Záhlaví Char"/>
    <w:next w:val="style17"/>
    <w:rPr>
      <w:sz w:val="22"/>
      <w:szCs w:val="22"/>
      <w:lang w:eastAsia="en-US"/>
    </w:rPr>
  </w:style>
  <w:style w:styleId="style18" w:type="character">
    <w:name w:val="Zápatí Char"/>
    <w:next w:val="style18"/>
    <w:rPr>
      <w:sz w:val="22"/>
      <w:szCs w:val="22"/>
      <w:lang w:eastAsia="en-US"/>
    </w:rPr>
  </w:style>
  <w:style w:styleId="style19" w:type="character">
    <w:name w:val="Nadpis 1 Char"/>
    <w:next w:val="style19"/>
    <w:rPr>
      <w:rFonts w:ascii="Arial" w:eastAsia="Times New Roman" w:hAnsi="Arial"/>
      <w:b/>
      <w:bCs/>
      <w:sz w:val="24"/>
      <w:szCs w:val="32"/>
      <w:lang w:eastAsia="en-US" w:val="cs-CZ"/>
    </w:rPr>
  </w:style>
  <w:style w:styleId="style20" w:type="character">
    <w:name w:val="Nadpis 2 Char"/>
    <w:next w:val="style20"/>
    <w:rPr>
      <w:rFonts w:ascii="Cambria" w:cs="Times New Roman" w:eastAsia="Times New Roman" w:hAnsi="Cambria"/>
      <w:b/>
      <w:bCs/>
      <w:i/>
      <w:iCs/>
      <w:sz w:val="28"/>
      <w:szCs w:val="28"/>
      <w:lang w:eastAsia="en-US"/>
    </w:rPr>
  </w:style>
  <w:style w:styleId="style21" w:type="character">
    <w:name w:val="Internetový odkaz"/>
    <w:next w:val="style21"/>
    <w:rPr>
      <w:color w:val="0000FF"/>
      <w:u w:val="single"/>
      <w:lang w:bidi="zxx-" w:eastAsia="zxx-" w:val="zxx-"/>
    </w:rPr>
  </w:style>
  <w:style w:styleId="style22" w:type="character">
    <w:name w:val="ListLabel 1"/>
    <w:next w:val="style22"/>
    <w:rPr>
      <w:rFonts w:cs="Courier New"/>
    </w:rPr>
  </w:style>
  <w:style w:styleId="style23" w:type="paragraph">
    <w:name w:val="Nadpis"/>
    <w:basedOn w:val="style0"/>
    <w:next w:val="style24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4" w:type="paragraph">
    <w:name w:val="Tělo textu"/>
    <w:basedOn w:val="style0"/>
    <w:next w:val="style24"/>
    <w:pPr>
      <w:spacing w:after="120" w:before="0"/>
      <w:contextualSpacing w:val="false"/>
    </w:pPr>
    <w:rPr/>
  </w:style>
  <w:style w:styleId="style25" w:type="paragraph">
    <w:name w:val="Seznam"/>
    <w:basedOn w:val="style24"/>
    <w:next w:val="style25"/>
    <w:pPr/>
    <w:rPr>
      <w:rFonts w:cs="Arial"/>
    </w:rPr>
  </w:style>
  <w:style w:styleId="style26" w:type="paragraph">
    <w:name w:val="Popisek"/>
    <w:basedOn w:val="style0"/>
    <w:next w:val="style26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7" w:type="paragraph">
    <w:name w:val="Rejstřík"/>
    <w:basedOn w:val="style0"/>
    <w:next w:val="style27"/>
    <w:pPr>
      <w:suppressLineNumbers/>
    </w:pPr>
    <w:rPr>
      <w:rFonts w:cs="Arial"/>
    </w:rPr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Tahoma" w:hAnsi="Tahoma"/>
      <w:sz w:val="16"/>
      <w:szCs w:val="16"/>
      <w:lang w:eastAsia="cs-CZ" w:val="cs-CZ"/>
    </w:rPr>
  </w:style>
  <w:style w:styleId="style29" w:type="paragraph">
    <w:name w:val="Záhlaví"/>
    <w:basedOn w:val="style0"/>
    <w:next w:val="style29"/>
    <w:pPr>
      <w:tabs>
        <w:tab w:leader="none" w:pos="4536" w:val="center"/>
        <w:tab w:leader="none" w:pos="9072" w:val="right"/>
      </w:tabs>
    </w:pPr>
    <w:rPr>
      <w:lang w:val="cs-CZ"/>
    </w:rPr>
  </w:style>
  <w:style w:styleId="style30" w:type="paragraph">
    <w:name w:val="Zápatí"/>
    <w:basedOn w:val="style0"/>
    <w:next w:val="style30"/>
    <w:pPr>
      <w:tabs>
        <w:tab w:leader="none" w:pos="4536" w:val="center"/>
        <w:tab w:leader="none" w:pos="9072" w:val="right"/>
      </w:tabs>
    </w:pPr>
    <w:rPr>
      <w:lang w:val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2016-06-17T08:32:00Z</dcterms:created>
  <dc:creator>CDO os</dc:creator>
  <cp:lastModifiedBy>Monika</cp:lastModifiedBy>
  <cp:lastPrinted>2014-01-02T11:04:00Z</cp:lastPrinted>
  <dcterms:modified xsi:type="dcterms:W3CDTF">2016-06-17T08:32:00Z</dcterms:modified>
  <cp:revision>2</cp:revision>
  <dc:title>2013 METODICKÝ POKYN KRAJSKÝCH KONFERENCÍ</dc:title>
</cp:coreProperties>
</file>