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9B0AA4">
        <w:rPr>
          <w:rFonts w:ascii="Arial Black" w:hAnsi="Arial Black" w:cs="Arial"/>
          <w:color w:val="FFFFFF" w:themeColor="background1"/>
          <w:sz w:val="40"/>
          <w:szCs w:val="40"/>
          <w:highlight w:val="blue"/>
        </w:rPr>
        <w:t>202</w:t>
      </w:r>
      <w:r w:rsidR="007C4321">
        <w:rPr>
          <w:rFonts w:ascii="Arial Black" w:hAnsi="Arial Black" w:cs="Arial"/>
          <w:color w:val="FFFFFF" w:themeColor="background1"/>
          <w:sz w:val="40"/>
          <w:szCs w:val="40"/>
          <w:highlight w:val="blue"/>
        </w:rPr>
        <w:t>4</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(č.ú. CDO: 43-1240750227/0100, v.s.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w:t>
      </w:r>
      <w:r w:rsidRPr="007F2189">
        <w:rPr>
          <w:rFonts w:ascii="Arial" w:hAnsi="Arial" w:cs="Arial"/>
          <w:sz w:val="24"/>
          <w:szCs w:val="24"/>
        </w:rPr>
        <w:t xml:space="preserve">startovné, </w:t>
      </w:r>
      <w:r w:rsidR="004519CD" w:rsidRPr="007F2189">
        <w:rPr>
          <w:rFonts w:ascii="Arial" w:hAnsi="Arial" w:cs="Arial"/>
          <w:sz w:val="24"/>
          <w:szCs w:val="24"/>
        </w:rPr>
        <w:t>členský příspěvek evidovaného</w:t>
      </w:r>
      <w:r w:rsidRPr="007F2189">
        <w:rPr>
          <w:rFonts w:ascii="Arial" w:hAnsi="Arial" w:cs="Arial"/>
          <w:sz w:val="24"/>
          <w:szCs w:val="24"/>
        </w:rPr>
        <w:t xml:space="preserve"> člena CDO a poplatek za přihlášení „na místě“ ve výši stanovené Finančním řádem CDO. Vyúčtování startovného</w:t>
      </w:r>
      <w:r w:rsidR="004519CD" w:rsidRPr="007F2189">
        <w:rPr>
          <w:rFonts w:ascii="Arial" w:hAnsi="Arial" w:cs="Arial"/>
          <w:sz w:val="24"/>
          <w:szCs w:val="24"/>
        </w:rPr>
        <w:t>, čl. příspěvků</w:t>
      </w:r>
      <w:r w:rsidRPr="007F2189">
        <w:rPr>
          <w:rFonts w:ascii="Arial" w:hAnsi="Arial" w:cs="Arial"/>
          <w:sz w:val="24"/>
          <w:szCs w:val="24"/>
        </w:rPr>
        <w:t xml:space="preserve"> a poplatků organizátorem proběhne dle Finančního </w:t>
      </w:r>
      <w:r>
        <w:rPr>
          <w:rFonts w:ascii="Arial" w:hAnsi="Arial" w:cs="Arial"/>
          <w:sz w:val="24"/>
          <w:szCs w:val="24"/>
        </w:rPr>
        <w:t xml:space="preserve">řádu CDO.  </w:t>
      </w:r>
    </w:p>
    <w:p w:rsidR="007C4321" w:rsidRDefault="00332058" w:rsidP="007C4321">
      <w:pPr>
        <w:ind w:firstLine="709"/>
        <w:jc w:val="both"/>
        <w:rPr>
          <w:rFonts w:ascii="Arial" w:hAnsi="Arial" w:cs="Arial"/>
          <w:b/>
          <w:sz w:val="24"/>
          <w:szCs w:val="24"/>
        </w:rPr>
      </w:pPr>
      <w:r w:rsidRPr="00864C26">
        <w:rPr>
          <w:rFonts w:ascii="Arial" w:hAnsi="Arial" w:cs="Arial"/>
          <w:b/>
          <w:sz w:val="24"/>
          <w:szCs w:val="24"/>
        </w:rPr>
        <w:t xml:space="preserve">5.3. </w:t>
      </w:r>
      <w:r w:rsidR="007C4321" w:rsidRPr="00864C26">
        <w:rPr>
          <w:rFonts w:ascii="Arial" w:hAnsi="Arial" w:cs="Arial"/>
          <w:b/>
          <w:sz w:val="24"/>
          <w:szCs w:val="24"/>
        </w:rPr>
        <w:t xml:space="preserve">Projekt (+ fotodokumentace) taneční soutěže dle vlastního návrhu s referencemi </w:t>
      </w:r>
      <w:r w:rsidR="007C4321">
        <w:rPr>
          <w:rFonts w:ascii="Arial" w:hAnsi="Arial" w:cs="Arial"/>
          <w:b/>
          <w:sz w:val="24"/>
          <w:szCs w:val="24"/>
        </w:rPr>
        <w:t>Ž</w:t>
      </w:r>
      <w:r w:rsidR="007C4321" w:rsidRPr="00864C26">
        <w:rPr>
          <w:rFonts w:ascii="Arial" w:hAnsi="Arial" w:cs="Arial"/>
          <w:b/>
          <w:sz w:val="24"/>
          <w:szCs w:val="24"/>
        </w:rPr>
        <w:t>adatele, dodavatele světelné a zvukové</w:t>
      </w:r>
      <w:r w:rsidR="007C4321">
        <w:rPr>
          <w:rFonts w:ascii="Arial" w:hAnsi="Arial" w:cs="Arial"/>
          <w:b/>
          <w:sz w:val="24"/>
          <w:szCs w:val="24"/>
        </w:rPr>
        <w:t xml:space="preserve"> techniky (může být i přímo součástí přihlášky)</w:t>
      </w:r>
    </w:p>
    <w:p w:rsidR="00C158B2" w:rsidRDefault="007C4321" w:rsidP="007C4321">
      <w:pPr>
        <w:ind w:firstLine="709"/>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 xml:space="preserve">Součástí přihlášky je i projekt. Doporučujeme zpracování, kde hlavní část bude tvořit </w:t>
      </w:r>
      <w:r w:rsidRPr="00E6201C">
        <w:rPr>
          <w:rFonts w:ascii="Arial" w:hAnsi="Arial" w:cs="Arial"/>
          <w:sz w:val="24"/>
          <w:szCs w:val="24"/>
        </w:rPr>
        <w:t>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7C4321" w:rsidRPr="00E6201C" w:rsidRDefault="00855602" w:rsidP="007C4321">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7C4321" w:rsidRPr="00E6201C">
        <w:rPr>
          <w:rFonts w:ascii="Arial" w:hAnsi="Arial" w:cs="Arial"/>
          <w:b/>
        </w:rPr>
        <w:t>Výběr organizátora soutěže</w:t>
      </w:r>
      <w:r w:rsidR="007C4321" w:rsidRPr="00E6201C">
        <w:rPr>
          <w:rFonts w:ascii="Arial" w:hAnsi="Arial" w:cs="Arial"/>
        </w:rPr>
        <w:t xml:space="preserve"> je plně v kompetenci Prezidia CDO. </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Pokud nerozhodne Prezidium CDO novým usnesením jinak, tak pro jeho výběrovou komisi a způsob výběru v</w:t>
      </w:r>
      <w:r>
        <w:rPr>
          <w:rFonts w:ascii="Arial" w:hAnsi="Arial" w:cs="Arial"/>
        </w:rPr>
        <w:t> 1. kole</w:t>
      </w:r>
      <w:r w:rsidRPr="00E6201C">
        <w:rPr>
          <w:rFonts w:ascii="Arial" w:hAnsi="Arial" w:cs="Arial"/>
        </w:rPr>
        <w:t xml:space="preserve"> VŘ platí:</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6201C">
        <w:rPr>
          <w:rStyle w:val="apple-converted-space"/>
          <w:rFonts w:ascii="Arial" w:hAnsi="Arial" w:cs="Arial"/>
        </w:rPr>
        <w:t> </w:t>
      </w:r>
      <w:r w:rsidRPr="00E6201C">
        <w:rPr>
          <w:rFonts w:ascii="Arial" w:hAnsi="Arial" w:cs="Arial"/>
        </w:rPr>
        <w:br/>
      </w:r>
      <w:r w:rsidRPr="00E6201C">
        <w:rPr>
          <w:rFonts w:ascii="Arial" w:hAnsi="Arial" w:cs="Arial"/>
        </w:rPr>
        <w:lastRenderedPageBreak/>
        <w:t>Je-li ve střetu zájmů Prezident či 1. viceprezident CDO, nebude ve výběrové komisi.</w:t>
      </w:r>
      <w:r w:rsidRPr="00E6201C">
        <w:rPr>
          <w:rStyle w:val="apple-converted-space"/>
          <w:rFonts w:ascii="Arial" w:hAnsi="Arial" w:cs="Arial"/>
        </w:rPr>
        <w:t> </w:t>
      </w:r>
      <w:r w:rsidRPr="00E6201C">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7C4321" w:rsidRPr="00E6201C" w:rsidRDefault="007C4321" w:rsidP="007C4321">
      <w:pPr>
        <w:pStyle w:val="Normlnweb"/>
        <w:spacing w:before="0" w:beforeAutospacing="0" w:after="0" w:afterAutospacing="0" w:line="252" w:lineRule="atLeast"/>
        <w:jc w:val="both"/>
        <w:rPr>
          <w:rFonts w:ascii="Arial" w:hAnsi="Arial" w:cs="Arial"/>
          <w:strike/>
        </w:rPr>
      </w:pPr>
      <w:r w:rsidRPr="00E6201C">
        <w:rPr>
          <w:rFonts w:ascii="Arial" w:hAnsi="Arial" w:cs="Arial"/>
        </w:rPr>
        <w:t xml:space="preserve">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w:t>
      </w:r>
    </w:p>
    <w:p w:rsidR="007C4321" w:rsidRPr="00E6201C"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7C4321" w:rsidRPr="00E6201C" w:rsidRDefault="007C4321" w:rsidP="007C4321">
      <w:pPr>
        <w:pStyle w:val="Normlnweb"/>
        <w:spacing w:before="0" w:beforeAutospacing="0" w:after="0" w:afterAutospacing="0" w:line="252" w:lineRule="atLeast"/>
        <w:jc w:val="both"/>
        <w:rPr>
          <w:rFonts w:ascii="Arial" w:hAnsi="Arial" w:cs="Arial"/>
        </w:rPr>
      </w:pPr>
    </w:p>
    <w:p w:rsidR="00A47A39" w:rsidRPr="00B47D17" w:rsidRDefault="007C4321" w:rsidP="007C4321">
      <w:pPr>
        <w:pStyle w:val="Normlnweb"/>
        <w:spacing w:before="0" w:beforeAutospacing="0" w:after="0" w:afterAutospacing="0" w:line="252" w:lineRule="atLeast"/>
        <w:jc w:val="both"/>
        <w:rPr>
          <w:rFonts w:ascii="Arial" w:hAnsi="Arial" w:cs="Arial"/>
        </w:rPr>
      </w:pPr>
      <w:r w:rsidRPr="00E6201C">
        <w:rPr>
          <w:rFonts w:ascii="Arial" w:hAnsi="Arial" w:cs="Arial"/>
        </w:rPr>
        <w:t xml:space="preserve">Pokud nerozhodne Prezidium CDO novým usnesením jinak, tak </w:t>
      </w:r>
      <w:r w:rsidRPr="00E6201C">
        <w:rPr>
          <w:rFonts w:ascii="Arial" w:hAnsi="Arial" w:cs="Arial"/>
          <w:shd w:val="clear" w:color="auto" w:fill="FCFCFC"/>
        </w:rPr>
        <w:t xml:space="preserve">pro nevybrané soutěže po </w:t>
      </w:r>
      <w:r>
        <w:rPr>
          <w:rFonts w:ascii="Arial" w:hAnsi="Arial" w:cs="Arial"/>
          <w:shd w:val="clear" w:color="auto" w:fill="FCFCFC"/>
        </w:rPr>
        <w:t>1</w:t>
      </w:r>
      <w:r w:rsidRPr="00E6201C">
        <w:rPr>
          <w:rFonts w:ascii="Arial" w:hAnsi="Arial" w:cs="Arial"/>
          <w:shd w:val="clear" w:color="auto" w:fill="FCFCFC"/>
        </w:rPr>
        <w:t xml:space="preserve">. kole VŘ bude </w:t>
      </w:r>
      <w:r>
        <w:rPr>
          <w:rFonts w:ascii="Arial" w:hAnsi="Arial" w:cs="Arial"/>
          <w:shd w:val="clear" w:color="auto" w:fill="FCFCFC"/>
        </w:rPr>
        <w:t>2</w:t>
      </w:r>
      <w:r w:rsidRPr="00E6201C">
        <w:rPr>
          <w:rFonts w:ascii="Arial" w:hAnsi="Arial" w:cs="Arial"/>
          <w:shd w:val="clear" w:color="auto" w:fill="FCFCFC"/>
        </w:rPr>
        <w:t>. kolo VŘ 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4666B5"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9B0AA4">
        <w:rPr>
          <w:rFonts w:ascii="Arial" w:hAnsi="Arial" w:cs="Arial"/>
          <w:b/>
          <w:color w:val="4B26C0"/>
          <w:u w:val="single"/>
        </w:rPr>
        <w:t>202</w:t>
      </w:r>
      <w:r w:rsidR="007C4321">
        <w:rPr>
          <w:rFonts w:ascii="Arial" w:hAnsi="Arial" w:cs="Arial"/>
          <w:b/>
          <w:color w:val="4B26C0"/>
          <w:u w:val="single"/>
        </w:rPr>
        <w:t>4</w:t>
      </w:r>
      <w:r w:rsidR="009B0AA4">
        <w:rPr>
          <w:rFonts w:ascii="Arial" w:hAnsi="Arial" w:cs="Arial"/>
          <w:b/>
          <w:color w:val="4B26C0"/>
          <w:u w:val="single"/>
        </w:rPr>
        <w:t xml:space="preserve"> – </w:t>
      </w:r>
      <w:r w:rsidR="007C392D">
        <w:rPr>
          <w:rFonts w:ascii="Arial" w:hAnsi="Arial" w:cs="Arial"/>
          <w:b/>
          <w:color w:val="4B26C0"/>
          <w:u w:val="single"/>
        </w:rPr>
        <w:t>2</w:t>
      </w:r>
      <w:r w:rsidR="009B0AA4">
        <w:rPr>
          <w:rFonts w:ascii="Arial" w:hAnsi="Arial" w:cs="Arial"/>
          <w:b/>
          <w:color w:val="4B26C0"/>
          <w:u w:val="single"/>
        </w:rPr>
        <w:t>. KOLO</w:t>
      </w:r>
      <w:r w:rsidR="009B0AA4"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w:t>
      </w:r>
      <w:r w:rsidR="007C392D" w:rsidRPr="003212A4">
        <w:rPr>
          <w:rFonts w:ascii="Arial" w:hAnsi="Arial" w:cs="Arial"/>
          <w:b/>
          <w:color w:val="FF0000"/>
          <w:sz w:val="20"/>
          <w:szCs w:val="20"/>
          <w:u w:val="single"/>
        </w:rPr>
        <w:t>neurčen, po obdržení přihlášky do VŘ bude obratem p</w:t>
      </w:r>
      <w:r w:rsidR="007C392D">
        <w:rPr>
          <w:rFonts w:ascii="Arial" w:hAnsi="Arial" w:cs="Arial"/>
          <w:b/>
          <w:color w:val="FF0000"/>
          <w:sz w:val="20"/>
          <w:szCs w:val="20"/>
          <w:u w:val="single"/>
        </w:rPr>
        <w:t>ředáno k hlasování Prezidiu CDO</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r>
        <w:rPr>
          <w:rFonts w:ascii="Arial" w:hAnsi="Arial" w:cs="Arial"/>
          <w:sz w:val="20"/>
          <w:szCs w:val="20"/>
        </w:rPr>
        <w:t>Organization, z. s</w:t>
      </w:r>
      <w:r w:rsidRPr="00C11A02">
        <w:rPr>
          <w:rFonts w:ascii="Arial" w:hAnsi="Arial" w:cs="Arial"/>
          <w:sz w:val="20"/>
          <w:szCs w:val="20"/>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Organization, z. s.</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6B5" w:rsidRDefault="004666B5" w:rsidP="00CE0FCF">
      <w:pPr>
        <w:spacing w:after="0" w:line="240" w:lineRule="auto"/>
      </w:pPr>
      <w:r>
        <w:separator/>
      </w:r>
    </w:p>
  </w:endnote>
  <w:endnote w:type="continuationSeparator" w:id="0">
    <w:p w:rsidR="004666B5" w:rsidRDefault="004666B5"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7C392D">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7C392D">
      <w:rPr>
        <w:rFonts w:ascii="Arial" w:hAnsi="Arial" w:cs="Arial"/>
        <w:noProof/>
        <w:sz w:val="16"/>
        <w:szCs w:val="16"/>
      </w:rPr>
      <w:t>2</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p w:rsidR="00333C8F" w:rsidRDefault="00333C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6B5" w:rsidRDefault="004666B5" w:rsidP="00CE0FCF">
      <w:pPr>
        <w:spacing w:after="0" w:line="240" w:lineRule="auto"/>
      </w:pPr>
      <w:r>
        <w:separator/>
      </w:r>
    </w:p>
  </w:footnote>
  <w:footnote w:type="continuationSeparator" w:id="0">
    <w:p w:rsidR="004666B5" w:rsidRDefault="004666B5"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4666B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4666B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4666B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EB7F55" w:rsidP="00EB7F55">
    <w:pPr>
      <w:pStyle w:val="Zhlav"/>
      <w:jc w:val="center"/>
    </w:pPr>
    <w:r>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4666B5"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161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2C0"/>
    <w:rsid w:val="00147636"/>
    <w:rsid w:val="0014776B"/>
    <w:rsid w:val="00150A06"/>
    <w:rsid w:val="00153739"/>
    <w:rsid w:val="00162867"/>
    <w:rsid w:val="001638C9"/>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2E3E07"/>
    <w:rsid w:val="003031B2"/>
    <w:rsid w:val="00306166"/>
    <w:rsid w:val="003175E1"/>
    <w:rsid w:val="00320FD3"/>
    <w:rsid w:val="00332058"/>
    <w:rsid w:val="00333C8F"/>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184D"/>
    <w:rsid w:val="003F352E"/>
    <w:rsid w:val="00410CBE"/>
    <w:rsid w:val="0043078D"/>
    <w:rsid w:val="004371BB"/>
    <w:rsid w:val="004433DD"/>
    <w:rsid w:val="00443C0A"/>
    <w:rsid w:val="004519CD"/>
    <w:rsid w:val="00456243"/>
    <w:rsid w:val="004666B5"/>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97432"/>
    <w:rsid w:val="005A22D4"/>
    <w:rsid w:val="005B5260"/>
    <w:rsid w:val="005C096B"/>
    <w:rsid w:val="005C53F2"/>
    <w:rsid w:val="005C7CE3"/>
    <w:rsid w:val="005D3187"/>
    <w:rsid w:val="005D3561"/>
    <w:rsid w:val="005D4B87"/>
    <w:rsid w:val="005D525F"/>
    <w:rsid w:val="005E2EA2"/>
    <w:rsid w:val="005F3B9A"/>
    <w:rsid w:val="00606F5A"/>
    <w:rsid w:val="006079DA"/>
    <w:rsid w:val="006138AE"/>
    <w:rsid w:val="006174AA"/>
    <w:rsid w:val="00622436"/>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392D"/>
    <w:rsid w:val="007C4321"/>
    <w:rsid w:val="007C5DF4"/>
    <w:rsid w:val="007E0F5D"/>
    <w:rsid w:val="007E66C1"/>
    <w:rsid w:val="007F2189"/>
    <w:rsid w:val="007F299D"/>
    <w:rsid w:val="008037CD"/>
    <w:rsid w:val="00805DF6"/>
    <w:rsid w:val="0080684B"/>
    <w:rsid w:val="00806FC5"/>
    <w:rsid w:val="008072AF"/>
    <w:rsid w:val="0080746D"/>
    <w:rsid w:val="00811C7A"/>
    <w:rsid w:val="00831D46"/>
    <w:rsid w:val="00835FD1"/>
    <w:rsid w:val="00855602"/>
    <w:rsid w:val="00864C26"/>
    <w:rsid w:val="008801FD"/>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3478"/>
    <w:rsid w:val="0098498A"/>
    <w:rsid w:val="009B0AA4"/>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65D41"/>
    <w:rsid w:val="00A70CC1"/>
    <w:rsid w:val="00A754B0"/>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AE5"/>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CF5002"/>
    <w:rsid w:val="00CF7C3D"/>
    <w:rsid w:val="00D22413"/>
    <w:rsid w:val="00D228DB"/>
    <w:rsid w:val="00D61175"/>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6"/>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3.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5.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6.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BD96B054-DCAE-484A-A79F-B31ACC43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7</Pages>
  <Words>1863</Words>
  <Characters>10995</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12833</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Účet Microsoft</cp:lastModifiedBy>
  <cp:revision>3</cp:revision>
  <cp:lastPrinted>2013-10-20T17:18:00Z</cp:lastPrinted>
  <dcterms:created xsi:type="dcterms:W3CDTF">2023-05-12T17:07:00Z</dcterms:created>
  <dcterms:modified xsi:type="dcterms:W3CDTF">2023-05-12T17:11:00Z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